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DC" w:rsidRPr="009A5DDC" w:rsidRDefault="009A5DDC" w:rsidP="00A05206">
      <w:p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5DDC">
        <w:rPr>
          <w:rFonts w:ascii="Times New Roman" w:hAnsi="Times New Roman" w:cs="Times New Roman"/>
          <w:b/>
          <w:sz w:val="28"/>
          <w:szCs w:val="28"/>
        </w:rPr>
        <w:t xml:space="preserve">Инвестиционный портфель пенсионных активов ЕНПФ </w:t>
      </w:r>
    </w:p>
    <w:p w:rsidR="009A5DDC" w:rsidRPr="009A5DDC" w:rsidRDefault="009A5DDC" w:rsidP="00A05206">
      <w:p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DDC">
        <w:rPr>
          <w:rFonts w:ascii="Times New Roman" w:hAnsi="Times New Roman" w:cs="Times New Roman"/>
          <w:b/>
          <w:sz w:val="28"/>
          <w:szCs w:val="28"/>
        </w:rPr>
        <w:t>по состоянию на 1 июля 2019 года</w:t>
      </w:r>
    </w:p>
    <w:p w:rsidR="009A5DDC" w:rsidRPr="009A5DDC" w:rsidRDefault="009A5DDC" w:rsidP="00A05206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DDC" w:rsidRPr="009A5DDC" w:rsidRDefault="009A5DDC" w:rsidP="00A05206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DDC">
        <w:rPr>
          <w:rFonts w:ascii="Times New Roman" w:hAnsi="Times New Roman" w:cs="Times New Roman"/>
          <w:sz w:val="24"/>
          <w:szCs w:val="24"/>
        </w:rPr>
        <w:t>По состоянию на 1 июля 2019 года пенсионные активы ЕНПФ, находящиеся в доверительном управлении Национального Банка Республики Казахстан, составили 9,99 трлн тенге.</w:t>
      </w:r>
    </w:p>
    <w:p w:rsidR="009A5DDC" w:rsidRPr="009A5DDC" w:rsidRDefault="009A5DDC" w:rsidP="00A05206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DDC">
        <w:rPr>
          <w:rFonts w:ascii="Times New Roman" w:hAnsi="Times New Roman" w:cs="Times New Roman"/>
          <w:sz w:val="24"/>
          <w:szCs w:val="24"/>
        </w:rPr>
        <w:t xml:space="preserve">Доходность пенсионных накоплений за последние 12 месяцев (июль 2018 г. – июнь 2019 г.) составила 9,4 % при инфляции за аналогичный период 5,4 %. </w:t>
      </w:r>
    </w:p>
    <w:p w:rsidR="009A5DDC" w:rsidRPr="009A5DDC" w:rsidRDefault="009A5DDC" w:rsidP="00A05206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DDC">
        <w:rPr>
          <w:rFonts w:ascii="Times New Roman" w:hAnsi="Times New Roman" w:cs="Times New Roman"/>
          <w:sz w:val="24"/>
          <w:szCs w:val="24"/>
        </w:rPr>
        <w:t xml:space="preserve">Начисленный инвестиционный доход с начала 2019 года превысил 285,2 млрд тенге. </w:t>
      </w:r>
    </w:p>
    <w:p w:rsidR="009A5DDC" w:rsidRPr="009A5DDC" w:rsidRDefault="009A5DDC" w:rsidP="00A05206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DDC">
        <w:rPr>
          <w:rFonts w:ascii="Times New Roman" w:hAnsi="Times New Roman" w:cs="Times New Roman"/>
          <w:sz w:val="24"/>
          <w:szCs w:val="24"/>
        </w:rPr>
        <w:t>Структура начисленного инвестиционного дохода выглядит следующим образом:</w:t>
      </w:r>
    </w:p>
    <w:p w:rsidR="009A5DDC" w:rsidRPr="009A5DDC" w:rsidRDefault="009A5DDC" w:rsidP="00A05206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DDC">
        <w:rPr>
          <w:rFonts w:ascii="Times New Roman" w:hAnsi="Times New Roman" w:cs="Times New Roman"/>
          <w:sz w:val="24"/>
          <w:szCs w:val="24"/>
        </w:rPr>
        <w:t>-</w:t>
      </w:r>
      <w:r w:rsidRPr="009A5DDC">
        <w:rPr>
          <w:rFonts w:ascii="Times New Roman" w:hAnsi="Times New Roman" w:cs="Times New Roman"/>
          <w:sz w:val="24"/>
          <w:szCs w:val="24"/>
        </w:rPr>
        <w:tab/>
        <w:t>доходы в виде вознаграждения по ценным бумагам, в том числе по размещенным вкладам и операциям «обратное РЕПО» 330,57 млрд тенге;</w:t>
      </w:r>
    </w:p>
    <w:p w:rsidR="009A5DDC" w:rsidRPr="009A5DDC" w:rsidRDefault="009A5DDC" w:rsidP="00A05206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DDC">
        <w:rPr>
          <w:rFonts w:ascii="Times New Roman" w:hAnsi="Times New Roman" w:cs="Times New Roman"/>
          <w:sz w:val="24"/>
          <w:szCs w:val="24"/>
        </w:rPr>
        <w:t>-</w:t>
      </w:r>
      <w:r w:rsidRPr="009A5DDC">
        <w:rPr>
          <w:rFonts w:ascii="Times New Roman" w:hAnsi="Times New Roman" w:cs="Times New Roman"/>
          <w:sz w:val="24"/>
          <w:szCs w:val="24"/>
        </w:rPr>
        <w:tab/>
        <w:t>убытки от рыночной переоценки ценных бумаг (31,79) млрд тенге;</w:t>
      </w:r>
    </w:p>
    <w:p w:rsidR="009A5DDC" w:rsidRPr="009A5DDC" w:rsidRDefault="009A5DDC" w:rsidP="00A05206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DDC">
        <w:rPr>
          <w:rFonts w:ascii="Times New Roman" w:hAnsi="Times New Roman" w:cs="Times New Roman"/>
          <w:sz w:val="24"/>
          <w:szCs w:val="24"/>
        </w:rPr>
        <w:t>-</w:t>
      </w:r>
      <w:r w:rsidRPr="009A5DDC">
        <w:rPr>
          <w:rFonts w:ascii="Times New Roman" w:hAnsi="Times New Roman" w:cs="Times New Roman"/>
          <w:sz w:val="24"/>
          <w:szCs w:val="24"/>
        </w:rPr>
        <w:tab/>
        <w:t>убытки от переоценки иностранной валюты (24,10) млрд тенге;</w:t>
      </w:r>
    </w:p>
    <w:p w:rsidR="009A5DDC" w:rsidRPr="009A5DDC" w:rsidRDefault="009A5DDC" w:rsidP="00A05206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DDC">
        <w:rPr>
          <w:rFonts w:ascii="Times New Roman" w:hAnsi="Times New Roman" w:cs="Times New Roman"/>
          <w:sz w:val="24"/>
          <w:szCs w:val="24"/>
        </w:rPr>
        <w:t>-</w:t>
      </w:r>
      <w:r w:rsidRPr="009A5DDC">
        <w:rPr>
          <w:rFonts w:ascii="Times New Roman" w:hAnsi="Times New Roman" w:cs="Times New Roman"/>
          <w:sz w:val="24"/>
          <w:szCs w:val="24"/>
        </w:rPr>
        <w:tab/>
        <w:t>доходы от внешнего управления 6,68 млрд тенге;</w:t>
      </w:r>
    </w:p>
    <w:p w:rsidR="009A5DDC" w:rsidRPr="009A5DDC" w:rsidRDefault="009A5DDC" w:rsidP="00A05206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DDC">
        <w:rPr>
          <w:rFonts w:ascii="Times New Roman" w:hAnsi="Times New Roman" w:cs="Times New Roman"/>
          <w:sz w:val="24"/>
          <w:szCs w:val="24"/>
        </w:rPr>
        <w:t>-</w:t>
      </w:r>
      <w:r w:rsidRPr="009A5DDC">
        <w:rPr>
          <w:rFonts w:ascii="Times New Roman" w:hAnsi="Times New Roman" w:cs="Times New Roman"/>
          <w:sz w:val="24"/>
          <w:szCs w:val="24"/>
        </w:rPr>
        <w:tab/>
        <w:t>прочие доходы составили 3,85 млрд тенге.</w:t>
      </w:r>
    </w:p>
    <w:p w:rsidR="009A5DDC" w:rsidRPr="009A5DDC" w:rsidRDefault="009A5DDC" w:rsidP="00A05206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DDC">
        <w:rPr>
          <w:rFonts w:ascii="Times New Roman" w:hAnsi="Times New Roman" w:cs="Times New Roman"/>
          <w:sz w:val="24"/>
          <w:szCs w:val="24"/>
        </w:rPr>
        <w:t>По состоянию на 01.07.2019г. средневзвешенная доходность к погашению долговых финансовых инструментов, находящихся в инвестиционном портфеле ПА ЕНПФ, составила 7,0% годовых, в том числе по номинированным в тенге – 8,5% годовых, в иностранной валюте – 3,7% годовых.</w:t>
      </w:r>
    </w:p>
    <w:p w:rsidR="009A5DDC" w:rsidRPr="009A5DDC" w:rsidRDefault="009A5DDC" w:rsidP="00A05206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DDC">
        <w:rPr>
          <w:rFonts w:ascii="Times New Roman" w:hAnsi="Times New Roman" w:cs="Times New Roman"/>
          <w:sz w:val="24"/>
          <w:szCs w:val="24"/>
        </w:rPr>
        <w:t xml:space="preserve">Основную долю в портфеле пенсионных активов ЕНПФ (40,31%) составили государственные ценные бумаги Республики Казахстан. На отчетную дату средневзвешенная доходность к погашению по ГЦБ РК, номинированным в тенге, составила 7,5% годовых, в долларах США – 4,5% годовых. </w:t>
      </w:r>
    </w:p>
    <w:p w:rsidR="009A5DDC" w:rsidRPr="009A5DDC" w:rsidRDefault="009A5DDC" w:rsidP="00A05206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DDC">
        <w:rPr>
          <w:rFonts w:ascii="Times New Roman" w:hAnsi="Times New Roman" w:cs="Times New Roman"/>
          <w:sz w:val="24"/>
          <w:szCs w:val="24"/>
        </w:rPr>
        <w:t xml:space="preserve">Текущая стоимость государственных ценных бумаг иностранных государств на 1 июля 2019 года составила 1 446,22 млрд тенге, увеличившись с начала года на 21,34%. Их доля в портфеле составила 14,47%. Средневзвешенная доходность к погашению ГЦБ иностранных государств в портфеле ПА ЕНПФ на отчетную дату составила 3,2% годовых. </w:t>
      </w:r>
    </w:p>
    <w:p w:rsidR="009A5DDC" w:rsidRPr="009A5DDC" w:rsidRDefault="009A5DDC" w:rsidP="00A05206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DDC">
        <w:rPr>
          <w:rFonts w:ascii="Times New Roman" w:hAnsi="Times New Roman" w:cs="Times New Roman"/>
          <w:sz w:val="24"/>
          <w:szCs w:val="24"/>
        </w:rPr>
        <w:t>Облигации квазигосударственных организаций Республики Казахстан на 1 июля 2019 года составляют 13,71% инвестиционного портфеля пенсионных активов. На отчетную дату средневзвешенная доходность к погашению по облигациям квазигосударственных организаций РК, номинированным в тенге, составила 10,2% годовых, в долларах США – 5,0% годовых.</w:t>
      </w:r>
    </w:p>
    <w:p w:rsidR="009A5DDC" w:rsidRPr="009A5DDC" w:rsidRDefault="009A5DDC" w:rsidP="00A05206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DDC">
        <w:rPr>
          <w:rFonts w:ascii="Times New Roman" w:hAnsi="Times New Roman" w:cs="Times New Roman"/>
          <w:sz w:val="24"/>
          <w:szCs w:val="24"/>
        </w:rPr>
        <w:t xml:space="preserve">Финансовые инструменты казахстанских банков второго уровня представлены следующим образом: 12,69% портфеля размещено в облигации, средневзвешенная доходность которых составляет 10% годовых в национальной валюте и 6,4% в долларах США; доля депозитов составляет 2,66% с средневзвешенной доходностью 9,4% годовых. </w:t>
      </w:r>
    </w:p>
    <w:p w:rsidR="009A5DDC" w:rsidRPr="009A5DDC" w:rsidRDefault="009A5DDC" w:rsidP="00A05206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DDC">
        <w:rPr>
          <w:rFonts w:ascii="Times New Roman" w:hAnsi="Times New Roman" w:cs="Times New Roman"/>
          <w:sz w:val="24"/>
          <w:szCs w:val="24"/>
        </w:rPr>
        <w:t>Инвестиционный портфель финансовых инструментов в разрезе валют, в которые номинированы финансовые инструменты, приобретенные за счет пенсионных активов ЕНПФ, представлен следующим образом:</w:t>
      </w:r>
    </w:p>
    <w:p w:rsidR="009A5DDC" w:rsidRPr="009A5DDC" w:rsidRDefault="009A5DDC" w:rsidP="00A05206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DDC">
        <w:rPr>
          <w:rFonts w:ascii="Times New Roman" w:hAnsi="Times New Roman" w:cs="Times New Roman"/>
          <w:sz w:val="24"/>
          <w:szCs w:val="24"/>
        </w:rPr>
        <w:t xml:space="preserve">инвестиции в национальной валюте - 68,23 %, в долларах США – 31,36 %, в других валютах – 0,42% портфеля пенсионных активов. </w:t>
      </w:r>
    </w:p>
    <w:p w:rsidR="009A5DDC" w:rsidRDefault="009A5DDC" w:rsidP="00A05206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DDC">
        <w:rPr>
          <w:rFonts w:ascii="Times New Roman" w:hAnsi="Times New Roman" w:cs="Times New Roman"/>
          <w:sz w:val="24"/>
          <w:szCs w:val="24"/>
        </w:rPr>
        <w:t>Структурное распределение портфеля пенсионных активов ЕНПФ, находящихся в доверительном управлении, соответствует требованиям Инвестиционной декларации ЕНПФ.</w:t>
      </w:r>
    </w:p>
    <w:p w:rsidR="009A5DDC" w:rsidRPr="009A5DDC" w:rsidRDefault="009A5DDC" w:rsidP="00A05206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DDC">
        <w:rPr>
          <w:rFonts w:ascii="Times New Roman" w:hAnsi="Times New Roman" w:cs="Times New Roman"/>
          <w:sz w:val="24"/>
          <w:szCs w:val="24"/>
        </w:rPr>
        <w:t xml:space="preserve">На официальном сайте ЕНПФ размещена подробная информация об инвестиционной деятельности по управлению портфелем пенсионных активов </w:t>
      </w:r>
    </w:p>
    <w:p w:rsidR="009A5DDC" w:rsidRPr="009A5DDC" w:rsidRDefault="002031A6" w:rsidP="00A05206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9A5DDC" w:rsidRPr="005B470E">
          <w:rPr>
            <w:rStyle w:val="a3"/>
            <w:rFonts w:ascii="Times New Roman" w:hAnsi="Times New Roman" w:cs="Times New Roman"/>
            <w:sz w:val="24"/>
            <w:szCs w:val="24"/>
          </w:rPr>
          <w:t>https://www.enpf.kz/upload/medialibrary/a65/a650446e3c2fde2aefc14647e3bba902.pdf</w:t>
        </w:r>
      </w:hyperlink>
    </w:p>
    <w:p w:rsidR="009A5DDC" w:rsidRPr="009A5DDC" w:rsidRDefault="009A5DDC" w:rsidP="00A05206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DDC">
        <w:rPr>
          <w:rFonts w:ascii="Times New Roman" w:hAnsi="Times New Roman" w:cs="Times New Roman"/>
          <w:sz w:val="24"/>
          <w:szCs w:val="24"/>
        </w:rPr>
        <w:t>Детальный отчет об инвестиционной деятельности включает данные о том, в какие ценные бумаги и в каком количестве, по какой рыночной цене инвестируются пенсионные накопления вкладчиков.</w:t>
      </w:r>
    </w:p>
    <w:sectPr w:rsidR="009A5DDC" w:rsidRPr="009A5DDC" w:rsidSect="009B048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507C2"/>
    <w:rsid w:val="002031A6"/>
    <w:rsid w:val="004837BE"/>
    <w:rsid w:val="005E6E39"/>
    <w:rsid w:val="00965C4C"/>
    <w:rsid w:val="009A5DDC"/>
    <w:rsid w:val="009B048D"/>
    <w:rsid w:val="00A05206"/>
    <w:rsid w:val="00A50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D4A1A-30D5-4153-BBD3-6BB9039C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firstLine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D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pf.kz/upload/medialibrary/a65/a650446e3c2fde2aefc14647e3bba90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Кенбаева Гульсара Истелеуовна</dc:creator>
  <cp:keywords/>
  <dc:description/>
  <cp:lastModifiedBy>Admin</cp:lastModifiedBy>
  <cp:revision>2</cp:revision>
  <dcterms:created xsi:type="dcterms:W3CDTF">2019-10-10T08:03:00Z</dcterms:created>
  <dcterms:modified xsi:type="dcterms:W3CDTF">2019-10-10T08:03:00Z</dcterms:modified>
</cp:coreProperties>
</file>